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338988">
      <w:pPr>
        <w:rPr>
          <w:rFonts w:hint="eastAsia"/>
          <w:sz w:val="32"/>
          <w:szCs w:val="32"/>
        </w:rPr>
      </w:pPr>
      <w:r>
        <w:rPr>
          <w:rFonts w:hint="eastAsia"/>
          <w:sz w:val="32"/>
          <w:szCs w:val="32"/>
        </w:rPr>
        <w:t>附件1：相关要求</w:t>
      </w:r>
    </w:p>
    <w:p w14:paraId="45046DBB">
      <w:pPr>
        <w:rPr>
          <w:rFonts w:hint="eastAsia"/>
          <w:sz w:val="24"/>
          <w:szCs w:val="24"/>
        </w:rPr>
      </w:pPr>
    </w:p>
    <w:p w14:paraId="1CB6A3EC">
      <w:pPr>
        <w:rPr>
          <w:rFonts w:hint="eastAsia"/>
          <w:sz w:val="24"/>
          <w:szCs w:val="24"/>
        </w:rPr>
      </w:pPr>
      <w:r>
        <w:rPr>
          <w:rFonts w:hint="eastAsia"/>
          <w:sz w:val="24"/>
          <w:szCs w:val="24"/>
        </w:rPr>
        <w:t>1.原则上，药材品种以2020年版《中国药典》为检验依据，来源、性状、鉴别、含量测定、二氧化硫、黄曲霉毒素、农药残留等项目均需符合要求；药典中未载品种，以广西地方标准为检验依据，包括广西药材标准、广西壮药质量标准、广西瑶药质量标准等。中国药典及广西地方标准均未收载者，才可参考其他省市的地方标准，并注明检验依据。</w:t>
      </w:r>
    </w:p>
    <w:p w14:paraId="499ABA2C">
      <w:pPr>
        <w:rPr>
          <w:rFonts w:hint="eastAsia"/>
          <w:sz w:val="24"/>
          <w:szCs w:val="24"/>
        </w:rPr>
      </w:pPr>
      <w:r>
        <w:rPr>
          <w:rFonts w:hint="eastAsia"/>
          <w:sz w:val="24"/>
          <w:szCs w:val="24"/>
        </w:rPr>
        <w:t>2.本次采购不局限于本次采购目录已确定的药品，对于本次采购目录外的药品品种，采购单位有需求的，入围供应商不得拒绝供应，应积极组织调拨资源，在5个工作日内组织到货（市场上确无货源的除外），目录外的药品品种最高报价不得高于投标人在广西区内其他三级医院供应价，采购时由采购人与入围供应商结合市场价格商定确定合理的单价，并按采购人实际该药品品种采购量按双方确定的单价进行结算。</w:t>
      </w:r>
    </w:p>
    <w:p w14:paraId="7A73ACA2">
      <w:pPr>
        <w:rPr>
          <w:rFonts w:hint="eastAsia"/>
          <w:sz w:val="24"/>
          <w:szCs w:val="24"/>
        </w:rPr>
      </w:pPr>
      <w:r>
        <w:rPr>
          <w:rFonts w:hint="eastAsia"/>
          <w:sz w:val="24"/>
          <w:szCs w:val="24"/>
        </w:rPr>
        <w:t>3.供应商必须遵守的规定：</w:t>
      </w:r>
    </w:p>
    <w:p w14:paraId="29C5DADF">
      <w:pPr>
        <w:rPr>
          <w:rFonts w:hint="eastAsia"/>
          <w:sz w:val="24"/>
          <w:szCs w:val="24"/>
        </w:rPr>
      </w:pPr>
      <w:r>
        <w:rPr>
          <w:rFonts w:hint="eastAsia"/>
          <w:sz w:val="24"/>
          <w:szCs w:val="24"/>
        </w:rPr>
        <w:t>（1）品种一旦确定，不得以任何借口（如无货，采购量少等）不执行医院药品需求计划，不得无故不予配送，造成不良影响或严重后果的直接取消企业本轮配送资格，且三年内不得参与我院药品等相关采购业务。</w:t>
      </w:r>
    </w:p>
    <w:p w14:paraId="507854FC">
      <w:pPr>
        <w:rPr>
          <w:rFonts w:hint="eastAsia"/>
          <w:sz w:val="24"/>
          <w:szCs w:val="24"/>
        </w:rPr>
      </w:pPr>
      <w:r>
        <w:rPr>
          <w:rFonts w:hint="eastAsia"/>
          <w:sz w:val="24"/>
          <w:szCs w:val="24"/>
        </w:rPr>
        <w:t>（2）由采购人对货物或服务的质量、规格和数量及其他进行检验。验收不合格时，入围供应商必须在采购人指定的时间内无条件更换，由此造成的损失和责任由入围供应商承担。</w:t>
      </w:r>
    </w:p>
    <w:p w14:paraId="1635417A">
      <w:pPr>
        <w:rPr>
          <w:rFonts w:hint="eastAsia"/>
          <w:sz w:val="24"/>
          <w:szCs w:val="24"/>
        </w:rPr>
      </w:pPr>
      <w:r>
        <w:rPr>
          <w:rFonts w:hint="eastAsia"/>
          <w:sz w:val="24"/>
          <w:szCs w:val="24"/>
        </w:rPr>
        <w:t>（3）供应商应保证同一中药饮片的供应源相对稳定。</w:t>
      </w:r>
    </w:p>
    <w:p w14:paraId="7CF95A36">
      <w:pPr>
        <w:rPr>
          <w:rFonts w:hint="eastAsia"/>
          <w:sz w:val="24"/>
          <w:szCs w:val="24"/>
        </w:rPr>
      </w:pPr>
      <w:r>
        <w:rPr>
          <w:rFonts w:hint="eastAsia"/>
          <w:sz w:val="24"/>
          <w:szCs w:val="24"/>
        </w:rPr>
        <w:t>4.报价应包含一切相关费用（如包装、运输、检测、管理服务、保险、税金等费用），报价不得涂改。</w:t>
      </w:r>
    </w:p>
    <w:p w14:paraId="74699BDF">
      <w:pPr>
        <w:rPr>
          <w:rFonts w:hint="eastAsia"/>
          <w:sz w:val="24"/>
          <w:szCs w:val="24"/>
        </w:rPr>
      </w:pPr>
      <w:r>
        <w:rPr>
          <w:rFonts w:hint="eastAsia"/>
          <w:sz w:val="24"/>
          <w:szCs w:val="24"/>
        </w:rPr>
        <w:t>5.随货提供药品成品的检验报告单，对于确有争议的药品，采购人可要求对供应商提供的货物进行抽检并送市级及以上药品检测部门检测，检测有问题的药品，检测所涉及的费用由供应商承担，报价中应包含检测费用，合同实施时，采购人不再支付任何项目费用。</w:t>
      </w:r>
      <w:bookmarkStart w:id="0" w:name="_GoBack"/>
      <w:bookmarkEnd w:id="0"/>
    </w:p>
    <w:p w14:paraId="00CC9708">
      <w:pPr>
        <w:rPr>
          <w:rFonts w:hint="eastAsia"/>
          <w:sz w:val="24"/>
          <w:szCs w:val="24"/>
        </w:rPr>
      </w:pPr>
      <w:r>
        <w:rPr>
          <w:rFonts w:hint="eastAsia"/>
          <w:sz w:val="24"/>
          <w:szCs w:val="24"/>
        </w:rPr>
        <w:t>6.报价中标饮片在服务期内原则上不得更改供应价格，投标企业应自行评估供货周期内市场价格波动情况，合理报价。</w:t>
      </w:r>
    </w:p>
    <w:p w14:paraId="05DEF879">
      <w:pPr>
        <w:rPr>
          <w:sz w:val="24"/>
          <w:szCs w:val="24"/>
        </w:rPr>
      </w:pPr>
      <w:r>
        <w:rPr>
          <w:rFonts w:hint="eastAsia"/>
          <w:sz w:val="24"/>
          <w:szCs w:val="24"/>
        </w:rPr>
        <w:t>7.有部分需特殊处理特殊包装的中药饮片，企业应知悉且在报价时充分考虑所需的价格成本。验收货物日期距离生产日期不超过2年。</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6621F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2025-04-10T01:57:25Z</dcterms:created>
  <dc:creator>dw</dc:creator>
  <cp:lastModifiedBy>byy</cp:lastModifiedBy>
  <dcterms:modified xsi:type="dcterms:W3CDTF">2025-04-10T02:02:07Z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eyJoZGlkIjoiOGFlMWMzOWM2MTdlNTU0NmYwYmM0NGJkYzJjNjQzODIiLCJ1c2VySWQiOiIyNDg4OTQ5ODYifQ==</vt:lpwstr>
  </property>
  <property fmtid="{D5CDD505-2E9C-101B-9397-08002B2CF9AE}" pid="4" name="ICV">
    <vt:lpwstr>7B2183CA7919460D913D4A16626447FE_13</vt:lpwstr>
  </property>
</Properties>
</file>